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6A3BE1BE" w:rsidR="00BC2F5A" w:rsidRDefault="00BC2F5A" w:rsidP="00BC2F5A">
      <w:pPr>
        <w:pStyle w:val="CH"/>
      </w:pPr>
      <w:bookmarkStart w:id="0" w:name="historyclause"/>
      <w:r w:rsidRPr="00B070F5">
        <w:t xml:space="preserve">3GPP </w:t>
      </w:r>
      <w:r w:rsidR="00BA79B9">
        <w:t xml:space="preserve">TSG </w:t>
      </w:r>
      <w:r w:rsidRPr="00B070F5">
        <w:t xml:space="preserve">RAN </w:t>
      </w:r>
      <w:r w:rsidR="00F9029E">
        <w:t xml:space="preserve">WG4 </w:t>
      </w:r>
      <w:r w:rsidRPr="00B070F5">
        <w:t>Meeting #</w:t>
      </w:r>
      <w:r w:rsidR="00F9029E">
        <w:t>104</w:t>
      </w:r>
      <w:r>
        <w:tab/>
      </w:r>
      <w:r>
        <w:tab/>
      </w:r>
      <w:r w:rsidR="000E5006" w:rsidRPr="000E5006">
        <w:t>R4-2212342</w:t>
      </w:r>
    </w:p>
    <w:p w14:paraId="50DC9730" w14:textId="557927C4" w:rsidR="00D309CC" w:rsidRPr="002F2CF6" w:rsidRDefault="00744C8E" w:rsidP="00BC2F5A">
      <w:pPr>
        <w:pStyle w:val="CH"/>
        <w:tabs>
          <w:tab w:val="clear" w:pos="7920"/>
        </w:tabs>
        <w:rPr>
          <w:b w:val="0"/>
        </w:rPr>
      </w:pPr>
      <w:r w:rsidRPr="005B0B43">
        <w:t xml:space="preserve">Electronic meeting, </w:t>
      </w:r>
      <w:r w:rsidR="00F9029E">
        <w:t>15</w:t>
      </w:r>
      <w:r w:rsidR="00E3176F" w:rsidRPr="00483096">
        <w:t xml:space="preserve"> – </w:t>
      </w:r>
      <w:r w:rsidR="00F9029E">
        <w:t>26</w:t>
      </w:r>
      <w:r w:rsidR="00390C9B">
        <w:t>th</w:t>
      </w:r>
      <w:r w:rsidR="00BA79B9">
        <w:t xml:space="preserve"> </w:t>
      </w:r>
      <w:r w:rsidR="00F9029E">
        <w:t>August</w:t>
      </w:r>
      <w:r w:rsidR="00E3176F" w:rsidRPr="00483096">
        <w:t xml:space="preserve">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2DBCB306" w:rsidR="00D309CC" w:rsidRPr="002F2CF6" w:rsidRDefault="00D309CC" w:rsidP="00D309CC">
      <w:pPr>
        <w:pStyle w:val="CH"/>
        <w:rPr>
          <w:b w:val="0"/>
        </w:rPr>
      </w:pPr>
      <w:r w:rsidRPr="002F2CF6">
        <w:t>Agenda item:</w:t>
      </w:r>
      <w:r w:rsidRPr="002F2CF6">
        <w:tab/>
      </w:r>
      <w:r w:rsidR="00F9029E">
        <w:t>11.1.2</w:t>
      </w:r>
    </w:p>
    <w:p w14:paraId="4DBE005A" w14:textId="50112AE9" w:rsidR="00D309CC" w:rsidRPr="002F2CF6" w:rsidRDefault="00D309CC" w:rsidP="00D309CC">
      <w:pPr>
        <w:pStyle w:val="CH"/>
        <w:rPr>
          <w:b w:val="0"/>
        </w:rPr>
      </w:pPr>
      <w:r w:rsidRPr="002F2CF6">
        <w:t>Source:</w:t>
      </w:r>
      <w:r w:rsidRPr="002F2CF6">
        <w:tab/>
        <w:t>Apple</w:t>
      </w:r>
    </w:p>
    <w:p w14:paraId="0D2061A1" w14:textId="598AD1AC" w:rsidR="00D309CC" w:rsidRPr="002F2CF6" w:rsidRDefault="00D309CC" w:rsidP="00E54DB8">
      <w:pPr>
        <w:pStyle w:val="CH"/>
        <w:ind w:left="2268" w:hanging="2268"/>
      </w:pPr>
      <w:r w:rsidRPr="002F2CF6">
        <w:t>Title:</w:t>
      </w:r>
      <w:r w:rsidRPr="002F2CF6">
        <w:tab/>
      </w:r>
      <w:r w:rsidR="00F9029E">
        <w:t>Clarifications on key open issues for irregular channels</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74F1B46A"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1B6B2369" w14:textId="3C347A87" w:rsidR="00F9029E" w:rsidRDefault="00744C8E" w:rsidP="00E82213">
      <w:r>
        <w:t>RAN WG4 has been considering several solutions, latest technical descriptions of which are captured in TR 38.844</w:t>
      </w:r>
      <w:r w:rsidR="00E82213">
        <w:t>.</w:t>
      </w:r>
      <w:r>
        <w:t xml:space="preserve"> </w:t>
      </w:r>
      <w:r w:rsidR="009B5DCE">
        <w:t>However, as extensively discussed during last meeting, companies do not have the same view on several features related to the core functionality, which effectively does not allow RAN WG4 to progress further on potential solutions for irregular channels</w:t>
      </w:r>
      <w:r>
        <w:t>.</w:t>
      </w:r>
      <w:r w:rsidR="000C5F64">
        <w:t xml:space="preserve"> </w:t>
      </w:r>
      <w:r w:rsidR="00F9029E">
        <w:t xml:space="preserve">This issue was raised during the RAN#96 meeting </w:t>
      </w:r>
      <w:r w:rsidR="00F9029E">
        <w:fldChar w:fldCharType="begin"/>
      </w:r>
      <w:r w:rsidR="00F9029E">
        <w:instrText xml:space="preserve"> REF _Ref108088229 \r \h </w:instrText>
      </w:r>
      <w:r w:rsidR="00F9029E">
        <w:fldChar w:fldCharType="separate"/>
      </w:r>
      <w:r w:rsidR="00F9029E">
        <w:t>[2]</w:t>
      </w:r>
      <w:r w:rsidR="00F9029E">
        <w:fldChar w:fldCharType="end"/>
      </w:r>
      <w:r w:rsidR="00F9029E">
        <w:t xml:space="preserve">, and the RAN guidance was to focus on clarifying key open issues. </w:t>
      </w:r>
    </w:p>
    <w:p w14:paraId="03A7DABA" w14:textId="102DE4A7" w:rsidR="00E82213" w:rsidRPr="00A6171D" w:rsidRDefault="000C5F64" w:rsidP="00E82213">
      <w:r>
        <w:t xml:space="preserve">In this discussion paper we present a quick overview of open issues </w:t>
      </w:r>
      <w:r w:rsidR="00F9029E">
        <w:t>presenting our view on anticipated UE behaviour and which potential enhancements can be considered for Rel-18</w:t>
      </w:r>
      <w:r>
        <w:t>.</w:t>
      </w:r>
      <w:r w:rsidR="00744C8E">
        <w:t xml:space="preserve"> </w:t>
      </w:r>
      <w:r w:rsidR="00E82213">
        <w:t xml:space="preserve"> </w:t>
      </w:r>
    </w:p>
    <w:p w14:paraId="616CFC1D" w14:textId="7CCEFC9E" w:rsidR="00E3176F" w:rsidRDefault="00E3176F" w:rsidP="00E3176F">
      <w:pPr>
        <w:pStyle w:val="Heading1"/>
      </w:pPr>
      <w:r>
        <w:t>2</w:t>
      </w:r>
      <w:r>
        <w:tab/>
      </w:r>
      <w:r w:rsidR="000C5F64">
        <w:t>Key open issues for irregular channels</w:t>
      </w:r>
    </w:p>
    <w:p w14:paraId="2F6519CF" w14:textId="0C785BB8" w:rsidR="00BE2F2F" w:rsidRDefault="000C5F64" w:rsidP="000C5F64">
      <w:r>
        <w:t xml:space="preserve">As already mentioned in the Introduction part, RAN WG4 has been working on identifying potential solutions to utilise spectrum blocks that are not aligned on the 5MHz boundary, i.e., the ones which do not correspond to any standard channel bandwidth defined in TS 38.101-1. </w:t>
      </w:r>
      <w:r w:rsidR="00D23FFF">
        <w:t>And while a good technical progress</w:t>
      </w:r>
      <w:r>
        <w:t xml:space="preserve"> </w:t>
      </w:r>
      <w:r w:rsidR="00D23FFF">
        <w:t>was made for each solution, companies were not able to reach the conclusion on the efficiency of each method because there is no common view on whether the Rel-15 core supports certain functionalities and whether all UEs will have a predictable behaviour</w:t>
      </w:r>
      <w:r w:rsidR="003169F9">
        <w:t xml:space="preserve"> in certain (re-)configuration cases</w:t>
      </w:r>
      <w:r w:rsidR="00D23FFF">
        <w:t xml:space="preserve">. </w:t>
      </w:r>
    </w:p>
    <w:p w14:paraId="52E1ADC6" w14:textId="77777777" w:rsidR="00BE2F2F" w:rsidRDefault="00BE2F2F" w:rsidP="000C5F64">
      <w:r>
        <w:t>Based on the technical discussions that took place during the last RAN4#103 meeting, key open issues can be summarised as follows below:</w:t>
      </w:r>
    </w:p>
    <w:p w14:paraId="0942D6A2" w14:textId="15677679" w:rsidR="00BE2F2F" w:rsidRPr="00F9029E" w:rsidRDefault="00BE2F2F" w:rsidP="00BE2F2F">
      <w:pPr>
        <w:pStyle w:val="B1"/>
      </w:pPr>
      <w:r w:rsidRPr="00F9029E">
        <w:t>-</w:t>
      </w:r>
      <w:r w:rsidRPr="00F9029E">
        <w:tab/>
        <w:t xml:space="preserve">SIB1 channel bandwidth </w:t>
      </w:r>
      <w:r w:rsidR="00F9029E">
        <w:t>and</w:t>
      </w:r>
      <w:r w:rsidRPr="00F9029E">
        <w:t xml:space="preserve"> UE dedicated bandwidth. </w:t>
      </w:r>
    </w:p>
    <w:p w14:paraId="3F2CFCE2" w14:textId="684364EA" w:rsidR="00BE2F2F" w:rsidRPr="00F9029E" w:rsidRDefault="00BE2F2F" w:rsidP="00BE2F2F">
      <w:pPr>
        <w:pStyle w:val="B1"/>
      </w:pPr>
      <w:r w:rsidRPr="00F9029E">
        <w:t>-</w:t>
      </w:r>
      <w:r w:rsidRPr="00F9029E">
        <w:tab/>
        <w:t xml:space="preserve">Number of </w:t>
      </w:r>
      <w:r w:rsidR="003F3BFB">
        <w:t xml:space="preserve">signalled </w:t>
      </w:r>
      <w:r w:rsidRPr="00F9029E">
        <w:t xml:space="preserve">RBs </w:t>
      </w:r>
      <w:r w:rsidR="00F9029E">
        <w:t>(</w:t>
      </w:r>
      <w:r w:rsidRPr="00F9029E">
        <w:t>in SIB1 and UE dedicated bandwidth</w:t>
      </w:r>
      <w:r w:rsidR="00F9029E">
        <w:t>)</w:t>
      </w:r>
      <w:r w:rsidRPr="00F9029E">
        <w:t xml:space="preserve">. </w:t>
      </w:r>
    </w:p>
    <w:p w14:paraId="7441C83B" w14:textId="62764B75" w:rsidR="000B14F0" w:rsidRDefault="00BE2F2F" w:rsidP="00BE2F2F">
      <w:pPr>
        <w:pStyle w:val="B1"/>
      </w:pPr>
      <w:r w:rsidRPr="00F9029E">
        <w:t>-</w:t>
      </w:r>
      <w:r w:rsidRPr="00F9029E">
        <w:tab/>
        <w:t>Channel raster</w:t>
      </w:r>
      <w:r w:rsidR="00F9029E" w:rsidRPr="00F9029E">
        <w:t xml:space="preserve"> not aligned on 100kHz</w:t>
      </w:r>
      <w:r w:rsidRPr="00F9029E">
        <w:t>.</w:t>
      </w:r>
      <w:r w:rsidRPr="00BE2F2F">
        <w:t xml:space="preserve"> </w:t>
      </w:r>
    </w:p>
    <w:p w14:paraId="17A76F9F" w14:textId="77777777" w:rsidR="00F9029E" w:rsidRDefault="00F9029E" w:rsidP="00F9029E"/>
    <w:p w14:paraId="7937F1F7" w14:textId="11F09DEA" w:rsidR="00A3047C" w:rsidRDefault="00F9029E" w:rsidP="00F9029E">
      <w:pPr>
        <w:pStyle w:val="Heading2"/>
      </w:pPr>
      <w:r>
        <w:t>2.1</w:t>
      </w:r>
      <w:r w:rsidR="007A4A7F">
        <w:tab/>
      </w:r>
      <w:r w:rsidRPr="00F9029E">
        <w:t xml:space="preserve">SIB1 channel bandwidth </w:t>
      </w:r>
      <w:r w:rsidR="00BF4565">
        <w:t>and</w:t>
      </w:r>
      <w:r w:rsidRPr="00F9029E">
        <w:t xml:space="preserve"> UE dedicated bandwidth</w:t>
      </w:r>
    </w:p>
    <w:p w14:paraId="195C6E4F" w14:textId="37258493" w:rsidR="00F9029E" w:rsidRDefault="00F9029E" w:rsidP="00F9029E">
      <w:pPr>
        <w:pStyle w:val="B1"/>
        <w:ind w:left="0" w:firstLine="0"/>
      </w:pPr>
      <w:r w:rsidRPr="00F9029E">
        <w:t>Carrier bandwidth is signalled in SIB1, but it can be also changed in the UE dedicated signalling. And while RAN2 signalling design in principle allows full flexibility, there is no affirmative conclusion that all UEs will work as expected if, for instance, a UE is reconfigured with the channel bandwidth larger than what SIB1 indicates. Logically speaking, it should be possible but there are uncertainties regarding the exact UE behaviour.</w:t>
      </w:r>
    </w:p>
    <w:p w14:paraId="355BDE4F" w14:textId="444FA3F7" w:rsidR="00B53CFC" w:rsidRDefault="00B53CFC" w:rsidP="007A4A7F">
      <w:pPr>
        <w:pStyle w:val="Proposal"/>
      </w:pPr>
      <w:bookmarkStart w:id="1" w:name="_Toc111068256"/>
      <w:r>
        <w:t>Proposal 1:</w:t>
      </w:r>
      <w:r>
        <w:tab/>
        <w:t>Clarify further</w:t>
      </w:r>
      <w:r w:rsidR="007A4A7F">
        <w:t xml:space="preserve"> expected UE behaviour when the UE is reconfigured to the channel bandwidth larger than what indicated in SIB1.</w:t>
      </w:r>
      <w:bookmarkEnd w:id="1"/>
    </w:p>
    <w:p w14:paraId="43E2FEDF" w14:textId="7F5E8C09" w:rsidR="00F9029E" w:rsidRDefault="00F9029E" w:rsidP="00F9029E">
      <w:pPr>
        <w:pStyle w:val="Heading2"/>
      </w:pPr>
      <w:r>
        <w:lastRenderedPageBreak/>
        <w:t>2.2</w:t>
      </w:r>
      <w:r>
        <w:tab/>
      </w:r>
      <w:r w:rsidRPr="00F9029E">
        <w:t xml:space="preserve">Number of </w:t>
      </w:r>
      <w:r w:rsidR="003F3BFB">
        <w:t xml:space="preserve">signalled </w:t>
      </w:r>
      <w:r w:rsidRPr="00F9029E">
        <w:t xml:space="preserve">RBs </w:t>
      </w:r>
    </w:p>
    <w:p w14:paraId="5409D72C" w14:textId="40C58DC1" w:rsidR="00F9029E" w:rsidRDefault="00F9029E" w:rsidP="00F9029E">
      <w:pPr>
        <w:pStyle w:val="B1"/>
        <w:ind w:left="0" w:firstLine="0"/>
      </w:pPr>
      <w:r w:rsidRPr="00F9029E">
        <w:t xml:space="preserve">This issue is </w:t>
      </w:r>
      <w:r w:rsidR="007A4A7F">
        <w:t>somewhat</w:t>
      </w:r>
      <w:r w:rsidRPr="00F9029E">
        <w:t xml:space="preserve"> related to the previous one. When the network sets carrier/channel bandwidth, it signals number of RBs</w:t>
      </w:r>
      <w:r w:rsidR="00335668">
        <w:t xml:space="preserve"> not as </w:t>
      </w:r>
      <w:proofErr w:type="gramStart"/>
      <w:r w:rsidR="00335668">
        <w:t>a</w:t>
      </w:r>
      <w:proofErr w:type="gramEnd"/>
      <w:r w:rsidR="00335668">
        <w:t xml:space="preserve"> enumerated value but as an integer value. So purely from the signalling perspective the network can</w:t>
      </w:r>
      <w:r w:rsidRPr="00F9029E">
        <w:t xml:space="preserve"> choose any </w:t>
      </w:r>
      <w:r w:rsidR="00335668">
        <w:t xml:space="preserve">integer </w:t>
      </w:r>
      <w:r w:rsidRPr="00F9029E">
        <w:t>number</w:t>
      </w:r>
      <w:r w:rsidR="00335668">
        <w:t xml:space="preserve"> of RBs</w:t>
      </w:r>
      <w:r w:rsidRPr="00F9029E">
        <w:t xml:space="preserve">. However, the main concern from several companies is what happens if this value does not correspond to </w:t>
      </w:r>
      <w:r w:rsidR="00335668">
        <w:t>the number of RBs associated with the</w:t>
      </w:r>
      <w:r w:rsidRPr="00F9029E">
        <w:t xml:space="preserve"> existing channel bandwidth </w:t>
      </w:r>
      <w:r w:rsidR="003F3BFB">
        <w:t xml:space="preserve">as </w:t>
      </w:r>
      <w:r w:rsidRPr="00F9029E">
        <w:t>defined in TS 38.101-1. Since all requirements are associated with one of the standard channels, it is not entirely clear what a UE shall do if it encounters number of RBs that does not correspond to any standard channel.</w:t>
      </w:r>
      <w:r w:rsidR="00692420">
        <w:t xml:space="preserve"> It is worth noting that RAN2 signalling was designed like that to be able to signal any channel bandwidth that RAN4 may consider, but it does not mean that any channel bandwidth can be signalled. </w:t>
      </w:r>
    </w:p>
    <w:p w14:paraId="2C799A5B" w14:textId="6E5D7563" w:rsidR="00692420" w:rsidRDefault="00692420" w:rsidP="00F9029E">
      <w:pPr>
        <w:pStyle w:val="B1"/>
        <w:ind w:left="0" w:firstLine="0"/>
      </w:pPr>
      <w:r>
        <w:t>Based on these considerations our view is that carrier bandwidth signalled to the UE, either in SIB1 or the dedicated signalling, must correspond to one of the existing channels as defined in TS 38.101-1. And a UE will apply the RF requirements based on the signalled value. The bandwidth part can be the same or smaller than the channel bandwidth, but the RF requirements will be anyway associated with the channel bandwidth.</w:t>
      </w:r>
    </w:p>
    <w:p w14:paraId="5F6D005B" w14:textId="428DF464" w:rsidR="00BF4565" w:rsidRPr="00BF4565" w:rsidRDefault="00BF4565" w:rsidP="00BF4565">
      <w:pPr>
        <w:pStyle w:val="Proposal"/>
      </w:pPr>
      <w:bookmarkStart w:id="2" w:name="_Toc111042604"/>
      <w:bookmarkStart w:id="3" w:name="_Toc111068105"/>
      <w:bookmarkStart w:id="4" w:name="_Toc111068257"/>
      <w:r w:rsidRPr="00BF4565">
        <w:t>Proposal 2a:</w:t>
      </w:r>
      <w:r w:rsidRPr="00BF4565">
        <w:tab/>
        <w:t>The carrier bandwidth signalled either in SIB1 or the dedicated signalling must correspond to one of the existing carrier bandwidths as defined in TS 38.101-1.</w:t>
      </w:r>
      <w:bookmarkEnd w:id="2"/>
      <w:bookmarkEnd w:id="3"/>
      <w:bookmarkEnd w:id="4"/>
    </w:p>
    <w:p w14:paraId="56201ABB" w14:textId="44D457CB" w:rsidR="00BF4565" w:rsidRDefault="00BF4565" w:rsidP="00BF4565">
      <w:pPr>
        <w:pStyle w:val="Proposal"/>
      </w:pPr>
      <w:bookmarkStart w:id="5" w:name="_Toc111042605"/>
      <w:bookmarkStart w:id="6" w:name="_Toc111068106"/>
      <w:bookmarkStart w:id="7" w:name="_Toc111068258"/>
      <w:r w:rsidRPr="00BF4565">
        <w:t>Proposal 2b:</w:t>
      </w:r>
      <w:r w:rsidRPr="00BF4565">
        <w:tab/>
        <w:t>UE RF requirements are</w:t>
      </w:r>
      <w:r>
        <w:t xml:space="preserve"> applied based on the signalled carrier bandwidth.</w:t>
      </w:r>
      <w:bookmarkEnd w:id="5"/>
      <w:bookmarkEnd w:id="6"/>
      <w:bookmarkEnd w:id="7"/>
    </w:p>
    <w:p w14:paraId="24484A6C" w14:textId="3F2E18FF" w:rsidR="00F9029E" w:rsidRDefault="00F9029E" w:rsidP="00F9029E">
      <w:pPr>
        <w:pStyle w:val="Heading2"/>
      </w:pPr>
      <w:r>
        <w:t>2.3</w:t>
      </w:r>
      <w:r>
        <w:tab/>
        <w:t>Channel raster not aligned on 100kHz</w:t>
      </w:r>
    </w:p>
    <w:p w14:paraId="2D0C2CD5" w14:textId="77777777" w:rsidR="00CD4588" w:rsidRDefault="00F9029E" w:rsidP="00F9029E">
      <w:pPr>
        <w:pStyle w:val="B1"/>
        <w:ind w:left="0" w:firstLine="0"/>
      </w:pPr>
      <w:r w:rsidRPr="00F9029E">
        <w:t>All FR1 low-frequency bands have channel raster in steps of 100kHz defined as the global raster (5kHz) x 20. And the RAN2 signalling also uses the global raster of 5kHz. So, purely from the signalling perspective there is nothing that prevents the network from configuring channels with the 5kHz accuracy</w:t>
      </w:r>
      <w:r w:rsidR="004C3223">
        <w:t>.</w:t>
      </w:r>
      <w:r w:rsidRPr="00F9029E">
        <w:t xml:space="preserve"> </w:t>
      </w:r>
      <w:r w:rsidR="004C3223">
        <w:t>It can</w:t>
      </w:r>
      <w:r w:rsidRPr="00F9029E">
        <w:t xml:space="preserve"> </w:t>
      </w:r>
      <w:r w:rsidR="004C3223">
        <w:t>provide</w:t>
      </w:r>
      <w:r w:rsidRPr="00F9029E">
        <w:t xml:space="preserve"> additional benefit</w:t>
      </w:r>
      <w:r w:rsidR="004C3223">
        <w:t>s</w:t>
      </w:r>
      <w:r w:rsidRPr="00F9029E">
        <w:t xml:space="preserve"> of aligning channel</w:t>
      </w:r>
      <w:r w:rsidR="004C3223">
        <w:t>s</w:t>
      </w:r>
      <w:r w:rsidRPr="00F9029E">
        <w:t xml:space="preserve"> on the required frequency point so that they are RB or sub-carrier aligned. </w:t>
      </w:r>
    </w:p>
    <w:p w14:paraId="5B0C8D2B" w14:textId="31B6BFDE" w:rsidR="00CD4588" w:rsidRDefault="00CD4588" w:rsidP="00F9029E">
      <w:pPr>
        <w:pStyle w:val="B1"/>
        <w:ind w:left="0" w:firstLine="0"/>
      </w:pPr>
      <w:r>
        <w:t>One exemplary benefit of allowing carriers on the non-100kHz raster is presented in Figure 2.3-1 below for the 7MHz irregular channel. If</w:t>
      </w:r>
      <w:r w:rsidR="00917F5A">
        <w:t>,</w:t>
      </w:r>
      <w:r>
        <w:t xml:space="preserve"> for the sake of example</w:t>
      </w:r>
      <w:r w:rsidR="00917F5A">
        <w:t>,</w:t>
      </w:r>
      <w:r>
        <w:t xml:space="preserve"> we assume overlapping carriers from the network perspective as potential solution, then the first and the second carrier must have offsets in multiple of 900kHz, whereupon 900kHz is the common multiplier between the 100kHz raster and 180kHz RB size. So, for the 7MHz channel we can shift the second carrier by 1800kHz, i.e., 10RBs; but the resulting guard bands will be noticeably larger than the minimum requirements for the 5MHz carrier. </w:t>
      </w:r>
      <w:r w:rsidR="00632227">
        <w:t xml:space="preserve">If there is a way to put the carrier on the non-100kHz raster, then the second carrier can have offset of 1980kHz, </w:t>
      </w:r>
      <w:proofErr w:type="gramStart"/>
      <w:r w:rsidR="00632227">
        <w:t>i.e.</w:t>
      </w:r>
      <w:proofErr w:type="gramEnd"/>
      <w:r w:rsidR="00632227">
        <w:t xml:space="preserve"> the overall system capacity can be increased to 36 RBs still ensuring the minimum guard-band requirements of the 5MHz carrier. </w:t>
      </w:r>
      <w:r>
        <w:t xml:space="preserve"> </w:t>
      </w:r>
    </w:p>
    <w:p w14:paraId="4172FD55" w14:textId="7677789B" w:rsidR="00CD4588" w:rsidRDefault="00CD4588" w:rsidP="00F9029E">
      <w:pPr>
        <w:pStyle w:val="B1"/>
        <w:ind w:left="0" w:firstLine="0"/>
      </w:pPr>
      <w:r>
        <w:rPr>
          <w:noProof/>
        </w:rPr>
        <w:drawing>
          <wp:inline distT="0" distB="0" distL="0" distR="0" wp14:anchorId="605ACD44" wp14:editId="625E4D05">
            <wp:extent cx="6122035" cy="12541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6122035" cy="1254125"/>
                    </a:xfrm>
                    <a:prstGeom prst="rect">
                      <a:avLst/>
                    </a:prstGeom>
                  </pic:spPr>
                </pic:pic>
              </a:graphicData>
            </a:graphic>
          </wp:inline>
        </w:drawing>
      </w:r>
    </w:p>
    <w:p w14:paraId="4C78B41E" w14:textId="438E6A20" w:rsidR="00CD4588" w:rsidRDefault="00632227" w:rsidP="00632227">
      <w:pPr>
        <w:pStyle w:val="TF"/>
      </w:pPr>
      <w:r>
        <w:t>Figure 2.3-1: Exemplary usage of overlapping carriers with 100kHz and non-100kHz alignment (7MHz irregular channel).</w:t>
      </w:r>
    </w:p>
    <w:p w14:paraId="6EFE645F" w14:textId="77777777" w:rsidR="007A4A7F" w:rsidRDefault="007A4A7F" w:rsidP="00F9029E">
      <w:pPr>
        <w:pStyle w:val="B1"/>
        <w:ind w:left="0" w:firstLine="0"/>
      </w:pPr>
    </w:p>
    <w:p w14:paraId="6681C121" w14:textId="56E6CAC9" w:rsidR="00F9029E" w:rsidRDefault="00F9029E" w:rsidP="00F9029E">
      <w:pPr>
        <w:pStyle w:val="B1"/>
        <w:ind w:left="0" w:firstLine="0"/>
      </w:pPr>
      <w:r w:rsidRPr="00F9029E">
        <w:t>Nevertheless, several companies raised a concern that current specifications clearly say that low-frequency FR1 bands should be on the 100kHz channel raster and there is no guarantee that all UEs will behave correctly if the channel is not on the 100kHz raster.</w:t>
      </w:r>
      <w:r w:rsidR="00632227">
        <w:t xml:space="preserve"> From that perspective it is preferrable not to </w:t>
      </w:r>
      <w:r w:rsidR="00D433B6">
        <w:t xml:space="preserve">break functionality of the legacy devices and keep existing principle of the 100kHz raster alignment. However, for the Rel-18 bands and devices it is possible to introduce the corresponding "relaxation" so that the FR1 low-frequency carrier can be </w:t>
      </w:r>
      <w:proofErr w:type="gramStart"/>
      <w:r w:rsidR="00D433B6">
        <w:t>e.g.</w:t>
      </w:r>
      <w:proofErr w:type="gramEnd"/>
      <w:r w:rsidR="00D433B6">
        <w:t xml:space="preserve"> </w:t>
      </w:r>
      <w:r w:rsidR="00840F50">
        <w:t xml:space="preserve">on the </w:t>
      </w:r>
      <w:r w:rsidR="00D433B6">
        <w:t>SCS</w:t>
      </w:r>
      <w:r w:rsidR="00840F50">
        <w:t>-based</w:t>
      </w:r>
      <w:r w:rsidR="00D433B6">
        <w:t xml:space="preserve"> </w:t>
      </w:r>
      <w:r w:rsidR="00840F50">
        <w:t>raster</w:t>
      </w:r>
      <w:r w:rsidR="00D433B6">
        <w:t xml:space="preserve">. </w:t>
      </w:r>
      <w:proofErr w:type="gramStart"/>
      <w:r w:rsidR="00D433B6">
        <w:t>Referring back</w:t>
      </w:r>
      <w:proofErr w:type="gramEnd"/>
      <w:r w:rsidR="00D433B6">
        <w:t xml:space="preserve"> to Figure 2.3-1, the network can configure two overlapping</w:t>
      </w:r>
      <w:r w:rsidR="00917F5A">
        <w:t xml:space="preserve"> carrier in accordance with the 100kHz requirement and these carriers will server legacy devices. And since the network is aware of the UE capabilities, it can always consider the third overlapping carrier, on the non-100kHz raster, where the Rel-18 device will be re-configured after initial attachment on the legacy carriers. </w:t>
      </w:r>
      <w:r w:rsidR="00D433B6">
        <w:t xml:space="preserve"> </w:t>
      </w:r>
    </w:p>
    <w:p w14:paraId="4A0730EE" w14:textId="02BB1BCE" w:rsidR="00FE7E90" w:rsidRDefault="00FE7E90" w:rsidP="00FE7E90">
      <w:pPr>
        <w:pStyle w:val="Proposal"/>
      </w:pPr>
      <w:bookmarkStart w:id="8" w:name="_Toc111042606"/>
      <w:bookmarkStart w:id="9" w:name="_Toc111068107"/>
      <w:bookmarkStart w:id="10" w:name="_Toc111068259"/>
      <w:r>
        <w:lastRenderedPageBreak/>
        <w:t>Proposal</w:t>
      </w:r>
      <w:r w:rsidR="00BF4565">
        <w:t xml:space="preserve"> 3a</w:t>
      </w:r>
      <w:r>
        <w:t>:</w:t>
      </w:r>
      <w:r>
        <w:tab/>
      </w:r>
      <w:r w:rsidR="00BF4565">
        <w:t>For the legacy UEs the existing design is assumed that the FR1 low-frequency bands must be aligned on the 100kHz raster</w:t>
      </w:r>
      <w:r>
        <w:t>.</w:t>
      </w:r>
      <w:bookmarkEnd w:id="8"/>
      <w:bookmarkEnd w:id="9"/>
      <w:bookmarkEnd w:id="10"/>
    </w:p>
    <w:p w14:paraId="51D607CC" w14:textId="04E8E4A9" w:rsidR="00BF4565" w:rsidRDefault="00BF4565" w:rsidP="00FE7E90">
      <w:pPr>
        <w:pStyle w:val="Proposal"/>
      </w:pPr>
      <w:bookmarkStart w:id="11" w:name="_Toc111042607"/>
      <w:bookmarkStart w:id="12" w:name="_Toc111068108"/>
      <w:bookmarkStart w:id="13" w:name="_Toc111068260"/>
      <w:r>
        <w:t>Proposal 3b:</w:t>
      </w:r>
      <w:r>
        <w:tab/>
        <w:t>For Rel-18, it is possible to consider further enhancements that the FR1 low-frequency bands can be also SCS aligned.</w:t>
      </w:r>
      <w:bookmarkEnd w:id="11"/>
      <w:bookmarkEnd w:id="12"/>
      <w:bookmarkEnd w:id="13"/>
      <w:r>
        <w:t xml:space="preserve"> </w:t>
      </w:r>
    </w:p>
    <w:p w14:paraId="7598CCB5" w14:textId="4F348344" w:rsidR="00BF4565" w:rsidRPr="00BE2F2F" w:rsidRDefault="00BF4565" w:rsidP="00FE7E90">
      <w:pPr>
        <w:pStyle w:val="Proposal"/>
      </w:pPr>
      <w:bookmarkStart w:id="14" w:name="_Toc111042608"/>
      <w:bookmarkStart w:id="15" w:name="_Toc111068109"/>
      <w:bookmarkStart w:id="16" w:name="_Toc111068261"/>
      <w:r>
        <w:t>Proposal 3c:</w:t>
      </w:r>
      <w:r>
        <w:tab/>
        <w:t>It is up to the network configuration and deployment to ensure how legacy and new UEs can be configured.</w:t>
      </w:r>
      <w:bookmarkEnd w:id="14"/>
      <w:bookmarkEnd w:id="15"/>
      <w:bookmarkEnd w:id="16"/>
      <w:r>
        <w:t xml:space="preserve"> </w:t>
      </w:r>
    </w:p>
    <w:p w14:paraId="34C99636" w14:textId="74BCFD43" w:rsidR="008E7986" w:rsidRPr="00D20165" w:rsidRDefault="00906293" w:rsidP="008E7986">
      <w:pPr>
        <w:pStyle w:val="Heading1"/>
      </w:pPr>
      <w:r>
        <w:t>3</w:t>
      </w:r>
      <w:r w:rsidR="008E7986" w:rsidRPr="00D20165">
        <w:tab/>
        <w:t>Conclusions</w:t>
      </w:r>
    </w:p>
    <w:p w14:paraId="5BB0E936" w14:textId="1E5768CE" w:rsidR="004F75AB" w:rsidRDefault="004F75AB" w:rsidP="004F75AB">
      <w:r>
        <w:t xml:space="preserve">In this discussion paper we have presented </w:t>
      </w:r>
      <w:r w:rsidR="00FE7E90">
        <w:t>our understanding of existing key open issues in the SI and how they can be resolved</w:t>
      </w:r>
      <w:r>
        <w:t>.</w:t>
      </w:r>
      <w:r w:rsidRPr="00D20165">
        <w:t xml:space="preserve"> </w:t>
      </w:r>
    </w:p>
    <w:p w14:paraId="19D287DA" w14:textId="77777777" w:rsidR="007A4A7F" w:rsidRDefault="00AF46B1">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7A4A7F">
        <w:rPr>
          <w:noProof/>
        </w:rPr>
        <w:t>Proposal 1:</w:t>
      </w:r>
      <w:r w:rsidR="007A4A7F">
        <w:rPr>
          <w:rFonts w:asciiTheme="minorHAnsi" w:eastAsiaTheme="minorEastAsia" w:hAnsiTheme="minorHAnsi" w:cstheme="minorBidi"/>
          <w:b w:val="0"/>
          <w:bCs w:val="0"/>
          <w:noProof/>
          <w:sz w:val="24"/>
          <w:szCs w:val="24"/>
          <w:lang w:val="en-DE" w:eastAsia="ko-KR"/>
        </w:rPr>
        <w:tab/>
      </w:r>
      <w:r w:rsidR="007A4A7F">
        <w:rPr>
          <w:noProof/>
        </w:rPr>
        <w:t>Clarify further expected UE behaviour when the UE is reconfigured to the channel bandwidth larger than what indicated in SIB1.</w:t>
      </w:r>
    </w:p>
    <w:p w14:paraId="3CB26E64" w14:textId="77777777" w:rsidR="007A4A7F" w:rsidRDefault="007A4A7F">
      <w:pPr>
        <w:pStyle w:val="TOC1"/>
        <w:rPr>
          <w:rFonts w:asciiTheme="minorHAnsi" w:eastAsiaTheme="minorEastAsia" w:hAnsiTheme="minorHAnsi" w:cstheme="minorBidi"/>
          <w:b w:val="0"/>
          <w:bCs w:val="0"/>
          <w:noProof/>
          <w:sz w:val="24"/>
          <w:szCs w:val="24"/>
          <w:lang w:val="en-DE" w:eastAsia="ko-KR"/>
        </w:rPr>
      </w:pPr>
      <w:r>
        <w:rPr>
          <w:noProof/>
        </w:rPr>
        <w:t>Proposal 2a:</w:t>
      </w:r>
      <w:r>
        <w:rPr>
          <w:rFonts w:asciiTheme="minorHAnsi" w:eastAsiaTheme="minorEastAsia" w:hAnsiTheme="minorHAnsi" w:cstheme="minorBidi"/>
          <w:b w:val="0"/>
          <w:bCs w:val="0"/>
          <w:noProof/>
          <w:sz w:val="24"/>
          <w:szCs w:val="24"/>
          <w:lang w:val="en-DE" w:eastAsia="ko-KR"/>
        </w:rPr>
        <w:tab/>
      </w:r>
      <w:r>
        <w:rPr>
          <w:noProof/>
        </w:rPr>
        <w:t>The carrier bandwidth signalled either in SIB1 or the dedicated signalling must correspond to one of the existing carrier bandwidths as defined in TS 38.101-1.</w:t>
      </w:r>
    </w:p>
    <w:p w14:paraId="2441D503" w14:textId="77777777" w:rsidR="007A4A7F" w:rsidRDefault="007A4A7F">
      <w:pPr>
        <w:pStyle w:val="TOC1"/>
        <w:rPr>
          <w:rFonts w:asciiTheme="minorHAnsi" w:eastAsiaTheme="minorEastAsia" w:hAnsiTheme="minorHAnsi" w:cstheme="minorBidi"/>
          <w:b w:val="0"/>
          <w:bCs w:val="0"/>
          <w:noProof/>
          <w:sz w:val="24"/>
          <w:szCs w:val="24"/>
          <w:lang w:val="en-DE" w:eastAsia="ko-KR"/>
        </w:rPr>
      </w:pPr>
      <w:r>
        <w:rPr>
          <w:noProof/>
        </w:rPr>
        <w:t>Proposal 2b:</w:t>
      </w:r>
      <w:r>
        <w:rPr>
          <w:rFonts w:asciiTheme="minorHAnsi" w:eastAsiaTheme="minorEastAsia" w:hAnsiTheme="minorHAnsi" w:cstheme="minorBidi"/>
          <w:b w:val="0"/>
          <w:bCs w:val="0"/>
          <w:noProof/>
          <w:sz w:val="24"/>
          <w:szCs w:val="24"/>
          <w:lang w:val="en-DE" w:eastAsia="ko-KR"/>
        </w:rPr>
        <w:tab/>
      </w:r>
      <w:r>
        <w:rPr>
          <w:noProof/>
        </w:rPr>
        <w:t>UE RF requirements are applied based on the signalled carrier bandwidth.</w:t>
      </w:r>
    </w:p>
    <w:p w14:paraId="0C959009" w14:textId="77777777" w:rsidR="007A4A7F" w:rsidRDefault="007A4A7F">
      <w:pPr>
        <w:pStyle w:val="TOC1"/>
        <w:rPr>
          <w:rFonts w:asciiTheme="minorHAnsi" w:eastAsiaTheme="minorEastAsia" w:hAnsiTheme="minorHAnsi" w:cstheme="minorBidi"/>
          <w:b w:val="0"/>
          <w:bCs w:val="0"/>
          <w:noProof/>
          <w:sz w:val="24"/>
          <w:szCs w:val="24"/>
          <w:lang w:val="en-DE" w:eastAsia="ko-KR"/>
        </w:rPr>
      </w:pPr>
      <w:r>
        <w:rPr>
          <w:noProof/>
        </w:rPr>
        <w:t>Proposal 3a:</w:t>
      </w:r>
      <w:r>
        <w:rPr>
          <w:rFonts w:asciiTheme="minorHAnsi" w:eastAsiaTheme="minorEastAsia" w:hAnsiTheme="minorHAnsi" w:cstheme="minorBidi"/>
          <w:b w:val="0"/>
          <w:bCs w:val="0"/>
          <w:noProof/>
          <w:sz w:val="24"/>
          <w:szCs w:val="24"/>
          <w:lang w:val="en-DE" w:eastAsia="ko-KR"/>
        </w:rPr>
        <w:tab/>
      </w:r>
      <w:r>
        <w:rPr>
          <w:noProof/>
        </w:rPr>
        <w:t>For the legacy UEs the existing design is assumed that the FR1 low-frequency bands must be aligned on the 100kHz raster.</w:t>
      </w:r>
    </w:p>
    <w:p w14:paraId="60C368BB" w14:textId="77777777" w:rsidR="007A4A7F" w:rsidRDefault="007A4A7F">
      <w:pPr>
        <w:pStyle w:val="TOC1"/>
        <w:rPr>
          <w:rFonts w:asciiTheme="minorHAnsi" w:eastAsiaTheme="minorEastAsia" w:hAnsiTheme="minorHAnsi" w:cstheme="minorBidi"/>
          <w:b w:val="0"/>
          <w:bCs w:val="0"/>
          <w:noProof/>
          <w:sz w:val="24"/>
          <w:szCs w:val="24"/>
          <w:lang w:val="en-DE" w:eastAsia="ko-KR"/>
        </w:rPr>
      </w:pPr>
      <w:r>
        <w:rPr>
          <w:noProof/>
        </w:rPr>
        <w:t>Proposal 3b:</w:t>
      </w:r>
      <w:r>
        <w:rPr>
          <w:rFonts w:asciiTheme="minorHAnsi" w:eastAsiaTheme="minorEastAsia" w:hAnsiTheme="minorHAnsi" w:cstheme="minorBidi"/>
          <w:b w:val="0"/>
          <w:bCs w:val="0"/>
          <w:noProof/>
          <w:sz w:val="24"/>
          <w:szCs w:val="24"/>
          <w:lang w:val="en-DE" w:eastAsia="ko-KR"/>
        </w:rPr>
        <w:tab/>
      </w:r>
      <w:r>
        <w:rPr>
          <w:noProof/>
        </w:rPr>
        <w:t>For Rel-18, it is possible to consider further enhancements that the FR1 low-frequency bands can be also SCS aligned.</w:t>
      </w:r>
    </w:p>
    <w:p w14:paraId="4395C85E" w14:textId="77777777" w:rsidR="007A4A7F" w:rsidRDefault="007A4A7F">
      <w:pPr>
        <w:pStyle w:val="TOC1"/>
        <w:rPr>
          <w:rFonts w:asciiTheme="minorHAnsi" w:eastAsiaTheme="minorEastAsia" w:hAnsiTheme="minorHAnsi" w:cstheme="minorBidi"/>
          <w:b w:val="0"/>
          <w:bCs w:val="0"/>
          <w:noProof/>
          <w:sz w:val="24"/>
          <w:szCs w:val="24"/>
          <w:lang w:val="en-DE" w:eastAsia="ko-KR"/>
        </w:rPr>
      </w:pPr>
      <w:r>
        <w:rPr>
          <w:noProof/>
        </w:rPr>
        <w:t>Proposal 3c:</w:t>
      </w:r>
      <w:r>
        <w:rPr>
          <w:rFonts w:asciiTheme="minorHAnsi" w:eastAsiaTheme="minorEastAsia" w:hAnsiTheme="minorHAnsi" w:cstheme="minorBidi"/>
          <w:b w:val="0"/>
          <w:bCs w:val="0"/>
          <w:noProof/>
          <w:sz w:val="24"/>
          <w:szCs w:val="24"/>
          <w:lang w:val="en-DE" w:eastAsia="ko-KR"/>
        </w:rPr>
        <w:tab/>
      </w:r>
      <w:r>
        <w:rPr>
          <w:noProof/>
        </w:rPr>
        <w:t>It is up to the network configuration and deployment to ensure how legacy and new UEs can be configured.</w:t>
      </w:r>
    </w:p>
    <w:p w14:paraId="474805B3" w14:textId="64349058" w:rsidR="00AF46B1" w:rsidRDefault="00AF46B1" w:rsidP="00AF46B1">
      <w:r>
        <w:rPr>
          <w:b/>
          <w:bCs/>
        </w:rPr>
        <w:fldChar w:fldCharType="end"/>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27E14D" w14:textId="563E68C5" w:rsidR="002315A5" w:rsidRDefault="002315A5" w:rsidP="002315A5">
      <w:pPr>
        <w:pStyle w:val="EX"/>
      </w:pPr>
      <w:bookmarkStart w:id="17" w:name="_Ref54370374"/>
      <w:r w:rsidRPr="002315A5">
        <w:t>RP-202103</w:t>
      </w:r>
      <w:r>
        <w:t xml:space="preserve">, "New SID: Study on Efficient utilization of licensed </w:t>
      </w:r>
      <w:r>
        <w:tab/>
        <w:t>spectrum that is not aligned with existing NR channel bandwidths", T-Mobile USA, Ericsson</w:t>
      </w:r>
      <w:bookmarkEnd w:id="17"/>
    </w:p>
    <w:p w14:paraId="334633C5" w14:textId="51FB193D" w:rsidR="00F9029E" w:rsidRDefault="00F9029E" w:rsidP="002315A5">
      <w:pPr>
        <w:pStyle w:val="EX"/>
      </w:pPr>
      <w:bookmarkStart w:id="18" w:name="_Ref108088229"/>
      <w:r w:rsidRPr="00F9029E">
        <w:t>RP-221693</w:t>
      </w:r>
      <w:r>
        <w:t>, "</w:t>
      </w:r>
      <w:r w:rsidRPr="00F9029E">
        <w:t>On the next steps for the SI on efficient utilization of licensed spectrum</w:t>
      </w:r>
      <w:r>
        <w:t>", Apple Inc.</w:t>
      </w:r>
      <w:bookmarkEnd w:id="18"/>
    </w:p>
    <w:p w14:paraId="4B66D901" w14:textId="21951983" w:rsidR="00C76D42" w:rsidRPr="00D20165" w:rsidRDefault="00C76D42" w:rsidP="002315A5">
      <w:pPr>
        <w:pStyle w:val="EX"/>
        <w:numPr>
          <w:ilvl w:val="0"/>
          <w:numId w:val="0"/>
        </w:numPr>
        <w:ind w:left="369"/>
      </w:pPr>
    </w:p>
    <w:sectPr w:rsidR="00C76D42" w:rsidRPr="00D201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39230" w14:textId="77777777" w:rsidR="00C50674" w:rsidRDefault="00C50674">
      <w:r>
        <w:separator/>
      </w:r>
    </w:p>
  </w:endnote>
  <w:endnote w:type="continuationSeparator" w:id="0">
    <w:p w14:paraId="1FA64D4D" w14:textId="77777777" w:rsidR="00C50674" w:rsidRDefault="00C50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36835" w14:textId="77777777" w:rsidR="00C50674" w:rsidRDefault="00C50674">
      <w:r>
        <w:separator/>
      </w:r>
    </w:p>
  </w:footnote>
  <w:footnote w:type="continuationSeparator" w:id="0">
    <w:p w14:paraId="3EAC82A6" w14:textId="77777777" w:rsidR="00C50674" w:rsidRDefault="00C506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0CBC"/>
    <w:rsid w:val="0009755D"/>
    <w:rsid w:val="00097BFB"/>
    <w:rsid w:val="000A2DD7"/>
    <w:rsid w:val="000A365D"/>
    <w:rsid w:val="000A3950"/>
    <w:rsid w:val="000A3ADF"/>
    <w:rsid w:val="000A7E3A"/>
    <w:rsid w:val="000B14F0"/>
    <w:rsid w:val="000B35AA"/>
    <w:rsid w:val="000C1674"/>
    <w:rsid w:val="000C47C3"/>
    <w:rsid w:val="000C5F64"/>
    <w:rsid w:val="000C7B5A"/>
    <w:rsid w:val="000D0F44"/>
    <w:rsid w:val="000D503E"/>
    <w:rsid w:val="000D58AB"/>
    <w:rsid w:val="000E021F"/>
    <w:rsid w:val="000E5006"/>
    <w:rsid w:val="000E7E18"/>
    <w:rsid w:val="000F06B2"/>
    <w:rsid w:val="000F3A73"/>
    <w:rsid w:val="000F6B44"/>
    <w:rsid w:val="000F7EA1"/>
    <w:rsid w:val="00104BC6"/>
    <w:rsid w:val="001070C5"/>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75496"/>
    <w:rsid w:val="001823BF"/>
    <w:rsid w:val="00196EAF"/>
    <w:rsid w:val="0019748B"/>
    <w:rsid w:val="001A29F8"/>
    <w:rsid w:val="001A4A9A"/>
    <w:rsid w:val="001A4C42"/>
    <w:rsid w:val="001B5160"/>
    <w:rsid w:val="001C1EC7"/>
    <w:rsid w:val="001C21C3"/>
    <w:rsid w:val="001C2419"/>
    <w:rsid w:val="001D02C2"/>
    <w:rsid w:val="001E7EB8"/>
    <w:rsid w:val="001F09CF"/>
    <w:rsid w:val="001F0C1D"/>
    <w:rsid w:val="001F1132"/>
    <w:rsid w:val="001F168B"/>
    <w:rsid w:val="001F3B0C"/>
    <w:rsid w:val="001F61DB"/>
    <w:rsid w:val="001F6FEF"/>
    <w:rsid w:val="00203C41"/>
    <w:rsid w:val="00206D85"/>
    <w:rsid w:val="00207D30"/>
    <w:rsid w:val="00220485"/>
    <w:rsid w:val="00223880"/>
    <w:rsid w:val="00227ABB"/>
    <w:rsid w:val="002315A5"/>
    <w:rsid w:val="00233CDA"/>
    <w:rsid w:val="002347A2"/>
    <w:rsid w:val="00240197"/>
    <w:rsid w:val="002450D8"/>
    <w:rsid w:val="00247926"/>
    <w:rsid w:val="002513AD"/>
    <w:rsid w:val="00253BAB"/>
    <w:rsid w:val="002675F0"/>
    <w:rsid w:val="00276EE4"/>
    <w:rsid w:val="002954D8"/>
    <w:rsid w:val="002956C3"/>
    <w:rsid w:val="002A0F1F"/>
    <w:rsid w:val="002B168B"/>
    <w:rsid w:val="002B42CA"/>
    <w:rsid w:val="002B4C3E"/>
    <w:rsid w:val="002B6339"/>
    <w:rsid w:val="002D12F5"/>
    <w:rsid w:val="002E00EE"/>
    <w:rsid w:val="002E492A"/>
    <w:rsid w:val="002E6E67"/>
    <w:rsid w:val="002E7463"/>
    <w:rsid w:val="002F057E"/>
    <w:rsid w:val="002F2CF6"/>
    <w:rsid w:val="002F5F31"/>
    <w:rsid w:val="002F6CBC"/>
    <w:rsid w:val="002F7399"/>
    <w:rsid w:val="003036B6"/>
    <w:rsid w:val="0031034F"/>
    <w:rsid w:val="0031063C"/>
    <w:rsid w:val="00312AA9"/>
    <w:rsid w:val="00313552"/>
    <w:rsid w:val="003169F9"/>
    <w:rsid w:val="003172DC"/>
    <w:rsid w:val="00321796"/>
    <w:rsid w:val="00322FC7"/>
    <w:rsid w:val="00325ED4"/>
    <w:rsid w:val="0033276C"/>
    <w:rsid w:val="00335668"/>
    <w:rsid w:val="00336AC2"/>
    <w:rsid w:val="003448CA"/>
    <w:rsid w:val="0035462D"/>
    <w:rsid w:val="00356834"/>
    <w:rsid w:val="00360686"/>
    <w:rsid w:val="003631EB"/>
    <w:rsid w:val="00366A6D"/>
    <w:rsid w:val="003701AC"/>
    <w:rsid w:val="003753AF"/>
    <w:rsid w:val="003765B8"/>
    <w:rsid w:val="0038066E"/>
    <w:rsid w:val="00381990"/>
    <w:rsid w:val="00390C9B"/>
    <w:rsid w:val="00394D23"/>
    <w:rsid w:val="00396185"/>
    <w:rsid w:val="003A0483"/>
    <w:rsid w:val="003B2B5F"/>
    <w:rsid w:val="003C3971"/>
    <w:rsid w:val="003C564B"/>
    <w:rsid w:val="003D2F32"/>
    <w:rsid w:val="003D36FA"/>
    <w:rsid w:val="003E61E5"/>
    <w:rsid w:val="003E7753"/>
    <w:rsid w:val="003F1D6E"/>
    <w:rsid w:val="003F27D4"/>
    <w:rsid w:val="003F36E6"/>
    <w:rsid w:val="003F3BFB"/>
    <w:rsid w:val="003F7F27"/>
    <w:rsid w:val="00401B29"/>
    <w:rsid w:val="00413124"/>
    <w:rsid w:val="00420C77"/>
    <w:rsid w:val="00423334"/>
    <w:rsid w:val="004267DF"/>
    <w:rsid w:val="004345EC"/>
    <w:rsid w:val="00473A1A"/>
    <w:rsid w:val="004826A9"/>
    <w:rsid w:val="00482CA3"/>
    <w:rsid w:val="004875FD"/>
    <w:rsid w:val="004920F0"/>
    <w:rsid w:val="004B2602"/>
    <w:rsid w:val="004B5103"/>
    <w:rsid w:val="004B709D"/>
    <w:rsid w:val="004C1601"/>
    <w:rsid w:val="004C3223"/>
    <w:rsid w:val="004C6E0D"/>
    <w:rsid w:val="004D034A"/>
    <w:rsid w:val="004D3578"/>
    <w:rsid w:val="004D40A9"/>
    <w:rsid w:val="004E213A"/>
    <w:rsid w:val="004E2E28"/>
    <w:rsid w:val="004E6A20"/>
    <w:rsid w:val="004F0988"/>
    <w:rsid w:val="004F3340"/>
    <w:rsid w:val="004F3E3D"/>
    <w:rsid w:val="004F52F2"/>
    <w:rsid w:val="004F75AB"/>
    <w:rsid w:val="005020AC"/>
    <w:rsid w:val="00504189"/>
    <w:rsid w:val="00511ABB"/>
    <w:rsid w:val="00513289"/>
    <w:rsid w:val="005142DF"/>
    <w:rsid w:val="00521C56"/>
    <w:rsid w:val="00526CFF"/>
    <w:rsid w:val="0053388B"/>
    <w:rsid w:val="00534718"/>
    <w:rsid w:val="0053575D"/>
    <w:rsid w:val="00535773"/>
    <w:rsid w:val="00537AB4"/>
    <w:rsid w:val="00543E6C"/>
    <w:rsid w:val="00551FC5"/>
    <w:rsid w:val="00565087"/>
    <w:rsid w:val="00570DD5"/>
    <w:rsid w:val="005721BB"/>
    <w:rsid w:val="00572E14"/>
    <w:rsid w:val="005771A9"/>
    <w:rsid w:val="00580798"/>
    <w:rsid w:val="00585697"/>
    <w:rsid w:val="005856CE"/>
    <w:rsid w:val="00593DA4"/>
    <w:rsid w:val="005973BE"/>
    <w:rsid w:val="005A2A65"/>
    <w:rsid w:val="005A3F5C"/>
    <w:rsid w:val="005A5986"/>
    <w:rsid w:val="005D2E01"/>
    <w:rsid w:val="005D7526"/>
    <w:rsid w:val="005E2535"/>
    <w:rsid w:val="005E69AE"/>
    <w:rsid w:val="005F4043"/>
    <w:rsid w:val="00602AEA"/>
    <w:rsid w:val="00607664"/>
    <w:rsid w:val="00607E3C"/>
    <w:rsid w:val="00614FDF"/>
    <w:rsid w:val="006246A7"/>
    <w:rsid w:val="0062595A"/>
    <w:rsid w:val="00632227"/>
    <w:rsid w:val="00634730"/>
    <w:rsid w:val="0063543D"/>
    <w:rsid w:val="00647114"/>
    <w:rsid w:val="00654D3E"/>
    <w:rsid w:val="00662404"/>
    <w:rsid w:val="006675E6"/>
    <w:rsid w:val="006704EC"/>
    <w:rsid w:val="006818C6"/>
    <w:rsid w:val="0068207C"/>
    <w:rsid w:val="0069226A"/>
    <w:rsid w:val="00692420"/>
    <w:rsid w:val="00695EB1"/>
    <w:rsid w:val="006A13A8"/>
    <w:rsid w:val="006A323F"/>
    <w:rsid w:val="006A7E02"/>
    <w:rsid w:val="006B0669"/>
    <w:rsid w:val="006B30D0"/>
    <w:rsid w:val="006B7CA8"/>
    <w:rsid w:val="006C0661"/>
    <w:rsid w:val="006C3D95"/>
    <w:rsid w:val="006C4C72"/>
    <w:rsid w:val="006D43A6"/>
    <w:rsid w:val="006D489B"/>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4A7F"/>
    <w:rsid w:val="007A5AAB"/>
    <w:rsid w:val="007A634D"/>
    <w:rsid w:val="007B600E"/>
    <w:rsid w:val="007C0A28"/>
    <w:rsid w:val="007C24D1"/>
    <w:rsid w:val="007C2EB4"/>
    <w:rsid w:val="007C413C"/>
    <w:rsid w:val="007C42E3"/>
    <w:rsid w:val="007D6D85"/>
    <w:rsid w:val="007E405D"/>
    <w:rsid w:val="007F0F4A"/>
    <w:rsid w:val="007F23A8"/>
    <w:rsid w:val="007F745E"/>
    <w:rsid w:val="008007D9"/>
    <w:rsid w:val="008028A4"/>
    <w:rsid w:val="00802901"/>
    <w:rsid w:val="0080674F"/>
    <w:rsid w:val="00806FDA"/>
    <w:rsid w:val="00820B25"/>
    <w:rsid w:val="008223AE"/>
    <w:rsid w:val="0082761D"/>
    <w:rsid w:val="00830747"/>
    <w:rsid w:val="0083282E"/>
    <w:rsid w:val="0083621F"/>
    <w:rsid w:val="00840F50"/>
    <w:rsid w:val="00843D2B"/>
    <w:rsid w:val="00850B60"/>
    <w:rsid w:val="008605CF"/>
    <w:rsid w:val="00865DDB"/>
    <w:rsid w:val="008768CA"/>
    <w:rsid w:val="008851FB"/>
    <w:rsid w:val="008929F3"/>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17F5A"/>
    <w:rsid w:val="00926846"/>
    <w:rsid w:val="0094205B"/>
    <w:rsid w:val="00942EC2"/>
    <w:rsid w:val="00943CED"/>
    <w:rsid w:val="009536FA"/>
    <w:rsid w:val="009557AC"/>
    <w:rsid w:val="00963494"/>
    <w:rsid w:val="00972D6A"/>
    <w:rsid w:val="00973F6E"/>
    <w:rsid w:val="009826B3"/>
    <w:rsid w:val="00996113"/>
    <w:rsid w:val="00997281"/>
    <w:rsid w:val="009A2BFA"/>
    <w:rsid w:val="009A6DA8"/>
    <w:rsid w:val="009B5DCE"/>
    <w:rsid w:val="009B6825"/>
    <w:rsid w:val="009C4185"/>
    <w:rsid w:val="009C6B1C"/>
    <w:rsid w:val="009D2A34"/>
    <w:rsid w:val="009E3248"/>
    <w:rsid w:val="009E55FD"/>
    <w:rsid w:val="009E6E52"/>
    <w:rsid w:val="009F1642"/>
    <w:rsid w:val="009F37B7"/>
    <w:rsid w:val="009F5E43"/>
    <w:rsid w:val="009F6F20"/>
    <w:rsid w:val="00A1046F"/>
    <w:rsid w:val="00A10F02"/>
    <w:rsid w:val="00A11010"/>
    <w:rsid w:val="00A1575E"/>
    <w:rsid w:val="00A15927"/>
    <w:rsid w:val="00A164B4"/>
    <w:rsid w:val="00A16F12"/>
    <w:rsid w:val="00A178D5"/>
    <w:rsid w:val="00A2361B"/>
    <w:rsid w:val="00A26956"/>
    <w:rsid w:val="00A3047C"/>
    <w:rsid w:val="00A32AF0"/>
    <w:rsid w:val="00A42C78"/>
    <w:rsid w:val="00A52C69"/>
    <w:rsid w:val="00A53724"/>
    <w:rsid w:val="00A54A42"/>
    <w:rsid w:val="00A55310"/>
    <w:rsid w:val="00A6171D"/>
    <w:rsid w:val="00A62A0A"/>
    <w:rsid w:val="00A70D9A"/>
    <w:rsid w:val="00A73129"/>
    <w:rsid w:val="00A75A83"/>
    <w:rsid w:val="00A7650B"/>
    <w:rsid w:val="00A82346"/>
    <w:rsid w:val="00A91741"/>
    <w:rsid w:val="00A92BA1"/>
    <w:rsid w:val="00A95142"/>
    <w:rsid w:val="00A96AA9"/>
    <w:rsid w:val="00AA1168"/>
    <w:rsid w:val="00AB03E7"/>
    <w:rsid w:val="00AB3A4B"/>
    <w:rsid w:val="00AB60EC"/>
    <w:rsid w:val="00AB6BDA"/>
    <w:rsid w:val="00AC062B"/>
    <w:rsid w:val="00AC6BC6"/>
    <w:rsid w:val="00AD081C"/>
    <w:rsid w:val="00AD3F96"/>
    <w:rsid w:val="00AE19D1"/>
    <w:rsid w:val="00AE27BF"/>
    <w:rsid w:val="00AE3797"/>
    <w:rsid w:val="00AF18DD"/>
    <w:rsid w:val="00AF46B1"/>
    <w:rsid w:val="00AF59C3"/>
    <w:rsid w:val="00B00F0D"/>
    <w:rsid w:val="00B03B5E"/>
    <w:rsid w:val="00B15449"/>
    <w:rsid w:val="00B16FC7"/>
    <w:rsid w:val="00B17447"/>
    <w:rsid w:val="00B36419"/>
    <w:rsid w:val="00B4513C"/>
    <w:rsid w:val="00B474C6"/>
    <w:rsid w:val="00B53CFC"/>
    <w:rsid w:val="00B55820"/>
    <w:rsid w:val="00B61020"/>
    <w:rsid w:val="00B71A6E"/>
    <w:rsid w:val="00B92610"/>
    <w:rsid w:val="00B93086"/>
    <w:rsid w:val="00BA13F1"/>
    <w:rsid w:val="00BA19ED"/>
    <w:rsid w:val="00BA300B"/>
    <w:rsid w:val="00BA4499"/>
    <w:rsid w:val="00BA4B8D"/>
    <w:rsid w:val="00BA79B9"/>
    <w:rsid w:val="00BB17DC"/>
    <w:rsid w:val="00BB2F30"/>
    <w:rsid w:val="00BB38C0"/>
    <w:rsid w:val="00BB6457"/>
    <w:rsid w:val="00BC0F7D"/>
    <w:rsid w:val="00BC2F5A"/>
    <w:rsid w:val="00BD71ED"/>
    <w:rsid w:val="00BE2F2F"/>
    <w:rsid w:val="00BE3255"/>
    <w:rsid w:val="00BF128E"/>
    <w:rsid w:val="00BF4565"/>
    <w:rsid w:val="00BF73CB"/>
    <w:rsid w:val="00C03D00"/>
    <w:rsid w:val="00C04AB4"/>
    <w:rsid w:val="00C06E73"/>
    <w:rsid w:val="00C070EC"/>
    <w:rsid w:val="00C1496A"/>
    <w:rsid w:val="00C2684C"/>
    <w:rsid w:val="00C3012D"/>
    <w:rsid w:val="00C33079"/>
    <w:rsid w:val="00C45231"/>
    <w:rsid w:val="00C50543"/>
    <w:rsid w:val="00C50674"/>
    <w:rsid w:val="00C539B3"/>
    <w:rsid w:val="00C660AB"/>
    <w:rsid w:val="00C72833"/>
    <w:rsid w:val="00C731FC"/>
    <w:rsid w:val="00C74791"/>
    <w:rsid w:val="00C76D42"/>
    <w:rsid w:val="00C80F1D"/>
    <w:rsid w:val="00C93F40"/>
    <w:rsid w:val="00C962DE"/>
    <w:rsid w:val="00CA3D0C"/>
    <w:rsid w:val="00CA5F06"/>
    <w:rsid w:val="00CB0F39"/>
    <w:rsid w:val="00CB1B8A"/>
    <w:rsid w:val="00CB7FEA"/>
    <w:rsid w:val="00CC2205"/>
    <w:rsid w:val="00CC4603"/>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76ED"/>
    <w:rsid w:val="00D433B6"/>
    <w:rsid w:val="00D4341D"/>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A03"/>
    <w:rsid w:val="00DB1818"/>
    <w:rsid w:val="00DC0855"/>
    <w:rsid w:val="00DC309B"/>
    <w:rsid w:val="00DC4DA2"/>
    <w:rsid w:val="00DC4F54"/>
    <w:rsid w:val="00DD31F9"/>
    <w:rsid w:val="00DD4C17"/>
    <w:rsid w:val="00DD7DBA"/>
    <w:rsid w:val="00DE0988"/>
    <w:rsid w:val="00DE3CDD"/>
    <w:rsid w:val="00DF2B1F"/>
    <w:rsid w:val="00DF2F1F"/>
    <w:rsid w:val="00DF6189"/>
    <w:rsid w:val="00DF62CD"/>
    <w:rsid w:val="00E03542"/>
    <w:rsid w:val="00E05F92"/>
    <w:rsid w:val="00E16509"/>
    <w:rsid w:val="00E22308"/>
    <w:rsid w:val="00E25269"/>
    <w:rsid w:val="00E255F5"/>
    <w:rsid w:val="00E2616F"/>
    <w:rsid w:val="00E309BF"/>
    <w:rsid w:val="00E3104A"/>
    <w:rsid w:val="00E3176F"/>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90DAA"/>
    <w:rsid w:val="00E9717C"/>
    <w:rsid w:val="00EA0C19"/>
    <w:rsid w:val="00EA7CBD"/>
    <w:rsid w:val="00EB2999"/>
    <w:rsid w:val="00EB5B83"/>
    <w:rsid w:val="00EB6386"/>
    <w:rsid w:val="00EC1A01"/>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555CF"/>
    <w:rsid w:val="00F60426"/>
    <w:rsid w:val="00F6213A"/>
    <w:rsid w:val="00F62AEB"/>
    <w:rsid w:val="00F653B8"/>
    <w:rsid w:val="00F67EF5"/>
    <w:rsid w:val="00F70647"/>
    <w:rsid w:val="00F729E9"/>
    <w:rsid w:val="00F84751"/>
    <w:rsid w:val="00F9029E"/>
    <w:rsid w:val="00F96730"/>
    <w:rsid w:val="00F97B58"/>
    <w:rsid w:val="00FA0D4A"/>
    <w:rsid w:val="00FA1266"/>
    <w:rsid w:val="00FA2236"/>
    <w:rsid w:val="00FA5C0A"/>
    <w:rsid w:val="00FA7FEF"/>
    <w:rsid w:val="00FB31CA"/>
    <w:rsid w:val="00FB49CF"/>
    <w:rsid w:val="00FC1192"/>
    <w:rsid w:val="00FC4484"/>
    <w:rsid w:val="00FD5D83"/>
    <w:rsid w:val="00FD6139"/>
    <w:rsid w:val="00FE44D7"/>
    <w:rsid w:val="00FE7E90"/>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98</TotalTime>
  <Pages>3</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11</cp:revision>
  <cp:lastPrinted>2019-02-25T15:05:00Z</cp:lastPrinted>
  <dcterms:created xsi:type="dcterms:W3CDTF">2022-07-07T10:06:00Z</dcterms:created>
  <dcterms:modified xsi:type="dcterms:W3CDTF">2022-08-10T21:01:00Z</dcterms:modified>
  <cp:category/>
</cp:coreProperties>
</file>